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94" w:rsidRDefault="00843307" w:rsidP="008B284B">
      <w:pPr>
        <w:jc w:val="center"/>
        <w:rPr>
          <w:noProof/>
        </w:rPr>
      </w:pPr>
      <w:bookmarkStart w:id="0" w:name="_GoBack"/>
      <w:bookmarkEnd w:id="0"/>
      <w:r>
        <w:rPr>
          <w:noProof/>
        </w:rPr>
        <w:drawing>
          <wp:inline distT="0" distB="0" distL="0" distR="0">
            <wp:extent cx="5943600" cy="499110"/>
            <wp:effectExtent l="0" t="0" r="0" b="0"/>
            <wp:docPr id="5" name="Picture 5" descr="VCU Work Incentives Planning and Assistance National Training and Dat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DC Header 8-3-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99110"/>
                    </a:xfrm>
                    <a:prstGeom prst="rect">
                      <a:avLst/>
                    </a:prstGeom>
                  </pic:spPr>
                </pic:pic>
              </a:graphicData>
            </a:graphic>
          </wp:inline>
        </w:drawing>
      </w:r>
    </w:p>
    <w:p w:rsidR="008B284B" w:rsidRDefault="001068E8" w:rsidP="00C41A82">
      <w:pPr>
        <w:pStyle w:val="Title"/>
        <w:rPr>
          <w:noProof/>
        </w:rPr>
      </w:pPr>
      <w:r>
        <w:rPr>
          <w:noProof/>
        </w:rPr>
        <w:t>WIPA Eligible or Not?</w:t>
      </w:r>
    </w:p>
    <w:p w:rsidR="00F72EC7" w:rsidRDefault="001068E8" w:rsidP="00F72EC7">
      <w:pPr>
        <w:pStyle w:val="Subtitle"/>
        <w:spacing w:after="360"/>
        <w:rPr>
          <w:rFonts w:asciiTheme="minorHAnsi" w:hAnsiTheme="minorHAnsi" w:cs="Verdana"/>
          <w:i w:val="0"/>
        </w:rPr>
      </w:pPr>
      <w:r>
        <w:rPr>
          <w:noProof/>
        </w:rPr>
        <w:t>January 2016</w:t>
      </w:r>
      <w:r w:rsidR="00C41A82">
        <w:rPr>
          <w:noProof/>
        </w:rPr>
        <w:br/>
      </w:r>
    </w:p>
    <w:p w:rsidR="00F72EC7" w:rsidRPr="00F72EC7" w:rsidRDefault="00F72EC7" w:rsidP="00F72EC7">
      <w:pPr>
        <w:pStyle w:val="Subtitle"/>
        <w:spacing w:after="360"/>
        <w:rPr>
          <w:rFonts w:asciiTheme="minorHAnsi" w:hAnsiTheme="minorHAnsi"/>
          <w:i w:val="0"/>
        </w:rPr>
      </w:pPr>
      <w:r w:rsidRPr="00F72EC7">
        <w:rPr>
          <w:rFonts w:asciiTheme="minorHAnsi" w:hAnsiTheme="minorHAnsi" w:cs="Verdana"/>
          <w:i w:val="0"/>
        </w:rPr>
        <w:t xml:space="preserve">Individuals must meet the following criteria to be </w:t>
      </w:r>
      <w:r w:rsidRPr="00F72EC7">
        <w:rPr>
          <w:rFonts w:asciiTheme="minorHAnsi" w:hAnsiTheme="minorHAnsi"/>
          <w:i w:val="0"/>
        </w:rPr>
        <w:t>eligible for WIPA</w:t>
      </w:r>
      <w:r w:rsidRPr="00F72EC7">
        <w:rPr>
          <w:rFonts w:asciiTheme="minorHAnsi" w:hAnsiTheme="minorHAnsi"/>
          <w:i w:val="0"/>
          <w:spacing w:val="-10"/>
        </w:rPr>
        <w:t xml:space="preserve"> </w:t>
      </w:r>
      <w:r w:rsidRPr="00F72EC7">
        <w:rPr>
          <w:rFonts w:asciiTheme="minorHAnsi" w:hAnsiTheme="minorHAnsi"/>
          <w:i w:val="0"/>
        </w:rPr>
        <w:t>services:</w:t>
      </w:r>
    </w:p>
    <w:p w:rsidR="00F72EC7" w:rsidRPr="00F72EC7" w:rsidRDefault="00F72EC7" w:rsidP="00F72EC7">
      <w:pPr>
        <w:pStyle w:val="ColorfulList-Accent11"/>
        <w:numPr>
          <w:ilvl w:val="1"/>
          <w:numId w:val="10"/>
        </w:numPr>
        <w:tabs>
          <w:tab w:val="left" w:pos="1110"/>
        </w:tabs>
        <w:rPr>
          <w:rFonts w:asciiTheme="minorHAnsi" w:eastAsia="Verdana" w:hAnsiTheme="minorHAnsi" w:cs="Verdana"/>
          <w:sz w:val="24"/>
          <w:szCs w:val="24"/>
        </w:rPr>
      </w:pPr>
      <w:r w:rsidRPr="00F72EC7">
        <w:rPr>
          <w:rFonts w:asciiTheme="minorHAnsi" w:hAnsiTheme="minorHAnsi"/>
          <w:sz w:val="24"/>
          <w:szCs w:val="24"/>
        </w:rPr>
        <w:t>At least age 14, but not yet full retirement</w:t>
      </w:r>
      <w:r w:rsidRPr="00F72EC7">
        <w:rPr>
          <w:rFonts w:asciiTheme="minorHAnsi" w:hAnsiTheme="minorHAnsi"/>
          <w:spacing w:val="-18"/>
          <w:sz w:val="24"/>
          <w:szCs w:val="24"/>
        </w:rPr>
        <w:t xml:space="preserve"> </w:t>
      </w:r>
      <w:r w:rsidRPr="00F72EC7">
        <w:rPr>
          <w:rFonts w:asciiTheme="minorHAnsi" w:hAnsiTheme="minorHAnsi"/>
          <w:sz w:val="24"/>
          <w:szCs w:val="24"/>
        </w:rPr>
        <w:t>age</w:t>
      </w:r>
      <w:r w:rsidRPr="00F72EC7">
        <w:rPr>
          <w:rFonts w:asciiTheme="minorHAnsi" w:hAnsiTheme="minorHAnsi"/>
          <w:position w:val="8"/>
          <w:sz w:val="24"/>
          <w:szCs w:val="24"/>
        </w:rPr>
        <w:t>1</w:t>
      </w:r>
      <w:r w:rsidRPr="00F72EC7">
        <w:rPr>
          <w:rFonts w:asciiTheme="minorHAnsi" w:hAnsiTheme="minorHAnsi"/>
          <w:sz w:val="24"/>
          <w:szCs w:val="24"/>
        </w:rPr>
        <w:t>,</w:t>
      </w:r>
    </w:p>
    <w:p w:rsidR="00F72EC7" w:rsidRPr="00F72EC7" w:rsidRDefault="00F72EC7" w:rsidP="00F72EC7">
      <w:pPr>
        <w:pStyle w:val="ColorfulList-Accent11"/>
        <w:numPr>
          <w:ilvl w:val="1"/>
          <w:numId w:val="10"/>
        </w:numPr>
        <w:tabs>
          <w:tab w:val="left" w:pos="1110"/>
        </w:tabs>
        <w:spacing w:before="118"/>
        <w:rPr>
          <w:rFonts w:asciiTheme="minorHAnsi" w:eastAsia="Verdana" w:hAnsiTheme="minorHAnsi" w:cs="Verdana"/>
          <w:sz w:val="24"/>
          <w:szCs w:val="24"/>
        </w:rPr>
      </w:pPr>
      <w:r w:rsidRPr="00F72EC7">
        <w:rPr>
          <w:rFonts w:asciiTheme="minorHAnsi" w:eastAsia="Verdana" w:hAnsiTheme="minorHAnsi" w:cs="Verdana"/>
          <w:sz w:val="24"/>
          <w:szCs w:val="24"/>
        </w:rPr>
        <w:t>Disabled per Social Security’s definition,</w:t>
      </w:r>
      <w:r w:rsidRPr="00F72EC7">
        <w:rPr>
          <w:rFonts w:asciiTheme="minorHAnsi" w:eastAsia="Verdana" w:hAnsiTheme="minorHAnsi" w:cs="Verdana"/>
          <w:spacing w:val="-11"/>
          <w:sz w:val="24"/>
          <w:szCs w:val="24"/>
        </w:rPr>
        <w:t xml:space="preserve"> </w:t>
      </w:r>
      <w:r w:rsidRPr="00F72EC7">
        <w:rPr>
          <w:rFonts w:asciiTheme="minorHAnsi" w:eastAsia="Verdana" w:hAnsiTheme="minorHAnsi" w:cs="Verdana"/>
          <w:sz w:val="24"/>
          <w:szCs w:val="24"/>
        </w:rPr>
        <w:t>and</w:t>
      </w:r>
    </w:p>
    <w:p w:rsidR="00F72EC7" w:rsidRPr="00F72EC7" w:rsidRDefault="00F72EC7" w:rsidP="00F72EC7">
      <w:pPr>
        <w:pStyle w:val="ColorfulList-Accent11"/>
        <w:numPr>
          <w:ilvl w:val="1"/>
          <w:numId w:val="10"/>
        </w:numPr>
        <w:tabs>
          <w:tab w:val="left" w:pos="1110"/>
        </w:tabs>
        <w:spacing w:before="118" w:line="264" w:lineRule="auto"/>
        <w:ind w:right="2060"/>
        <w:rPr>
          <w:rFonts w:asciiTheme="minorHAnsi" w:eastAsia="Verdana" w:hAnsiTheme="minorHAnsi" w:cs="Verdana"/>
          <w:sz w:val="24"/>
          <w:szCs w:val="24"/>
        </w:rPr>
      </w:pPr>
      <w:r w:rsidRPr="00F72EC7">
        <w:rPr>
          <w:rFonts w:asciiTheme="minorHAnsi" w:hAnsiTheme="minorHAnsi"/>
          <w:sz w:val="24"/>
          <w:szCs w:val="24"/>
        </w:rPr>
        <w:t>Already receiving (or approved to receive) Social Security benefits based on disability (SSI or a Title</w:t>
      </w:r>
      <w:r w:rsidRPr="00F72EC7">
        <w:rPr>
          <w:rFonts w:asciiTheme="minorHAnsi" w:hAnsiTheme="minorHAnsi"/>
          <w:spacing w:val="-7"/>
          <w:sz w:val="24"/>
          <w:szCs w:val="24"/>
        </w:rPr>
        <w:t xml:space="preserve"> </w:t>
      </w:r>
      <w:r w:rsidRPr="00F72EC7">
        <w:rPr>
          <w:rFonts w:asciiTheme="minorHAnsi" w:hAnsiTheme="minorHAnsi"/>
          <w:sz w:val="24"/>
          <w:szCs w:val="24"/>
        </w:rPr>
        <w:t>II disability benefit such as SSDI, CDB or DWB),</w:t>
      </w:r>
      <w:r w:rsidRPr="00F72EC7">
        <w:rPr>
          <w:rFonts w:asciiTheme="minorHAnsi" w:hAnsiTheme="minorHAnsi"/>
          <w:spacing w:val="-9"/>
          <w:sz w:val="24"/>
          <w:szCs w:val="24"/>
        </w:rPr>
        <w:t xml:space="preserve"> </w:t>
      </w:r>
      <w:r w:rsidRPr="00F72EC7">
        <w:rPr>
          <w:rFonts w:asciiTheme="minorHAnsi" w:hAnsiTheme="minorHAnsi"/>
          <w:sz w:val="24"/>
          <w:szCs w:val="24"/>
        </w:rPr>
        <w:t>or</w:t>
      </w:r>
    </w:p>
    <w:p w:rsidR="00F72EC7" w:rsidRPr="00F72EC7" w:rsidRDefault="00F72EC7" w:rsidP="00F72EC7">
      <w:pPr>
        <w:pStyle w:val="ColorfulList-Accent11"/>
        <w:numPr>
          <w:ilvl w:val="1"/>
          <w:numId w:val="10"/>
        </w:numPr>
        <w:tabs>
          <w:tab w:val="left" w:pos="1110"/>
        </w:tabs>
        <w:spacing w:before="89" w:line="264" w:lineRule="auto"/>
        <w:ind w:right="3100"/>
        <w:rPr>
          <w:rFonts w:asciiTheme="minorHAnsi" w:eastAsia="Verdana" w:hAnsiTheme="minorHAnsi" w:cs="Verdana"/>
          <w:sz w:val="24"/>
          <w:szCs w:val="24"/>
        </w:rPr>
      </w:pPr>
      <w:r w:rsidRPr="00F72EC7">
        <w:rPr>
          <w:rFonts w:asciiTheme="minorHAnsi" w:hAnsiTheme="minorHAnsi"/>
          <w:sz w:val="24"/>
          <w:szCs w:val="24"/>
        </w:rPr>
        <w:t>Receiving continued Medicaid under</w:t>
      </w:r>
      <w:r w:rsidRPr="00F72EC7">
        <w:rPr>
          <w:rFonts w:asciiTheme="minorHAnsi" w:hAnsiTheme="minorHAnsi"/>
          <w:spacing w:val="-9"/>
          <w:sz w:val="24"/>
          <w:szCs w:val="24"/>
        </w:rPr>
        <w:t xml:space="preserve"> </w:t>
      </w:r>
      <w:r w:rsidRPr="00F72EC7">
        <w:rPr>
          <w:rFonts w:asciiTheme="minorHAnsi" w:hAnsiTheme="minorHAnsi"/>
          <w:sz w:val="24"/>
          <w:szCs w:val="24"/>
        </w:rPr>
        <w:t>1619(b) of the Social Security Act,</w:t>
      </w:r>
      <w:r w:rsidRPr="00F72EC7">
        <w:rPr>
          <w:rFonts w:asciiTheme="minorHAnsi" w:hAnsiTheme="minorHAnsi"/>
          <w:spacing w:val="-7"/>
          <w:sz w:val="24"/>
          <w:szCs w:val="24"/>
        </w:rPr>
        <w:t xml:space="preserve"> </w:t>
      </w:r>
      <w:r w:rsidRPr="00F72EC7">
        <w:rPr>
          <w:rFonts w:asciiTheme="minorHAnsi" w:hAnsiTheme="minorHAnsi"/>
          <w:sz w:val="24"/>
          <w:szCs w:val="24"/>
        </w:rPr>
        <w:t>or</w:t>
      </w:r>
    </w:p>
    <w:p w:rsidR="00F72EC7" w:rsidRPr="00F72EC7" w:rsidRDefault="00F72EC7" w:rsidP="00F72EC7">
      <w:pPr>
        <w:pStyle w:val="ColorfulList-Accent11"/>
        <w:numPr>
          <w:ilvl w:val="1"/>
          <w:numId w:val="10"/>
        </w:numPr>
        <w:tabs>
          <w:tab w:val="left" w:pos="1110"/>
        </w:tabs>
        <w:spacing w:before="89"/>
        <w:rPr>
          <w:rFonts w:asciiTheme="minorHAnsi" w:eastAsia="Verdana" w:hAnsiTheme="minorHAnsi" w:cs="Verdana"/>
          <w:sz w:val="24"/>
          <w:szCs w:val="24"/>
        </w:rPr>
      </w:pPr>
      <w:r w:rsidRPr="00F72EC7">
        <w:rPr>
          <w:rFonts w:asciiTheme="minorHAnsi" w:hAnsiTheme="minorHAnsi"/>
          <w:sz w:val="24"/>
          <w:szCs w:val="24"/>
        </w:rPr>
        <w:t>Receiving only SSI State supplementary payment,</w:t>
      </w:r>
      <w:r w:rsidRPr="00F72EC7">
        <w:rPr>
          <w:rFonts w:asciiTheme="minorHAnsi" w:hAnsiTheme="minorHAnsi"/>
          <w:spacing w:val="-15"/>
          <w:sz w:val="24"/>
          <w:szCs w:val="24"/>
        </w:rPr>
        <w:t xml:space="preserve"> </w:t>
      </w:r>
      <w:r w:rsidRPr="00F72EC7">
        <w:rPr>
          <w:rFonts w:asciiTheme="minorHAnsi" w:hAnsiTheme="minorHAnsi"/>
          <w:sz w:val="24"/>
          <w:szCs w:val="24"/>
        </w:rPr>
        <w:t>or</w:t>
      </w:r>
    </w:p>
    <w:p w:rsidR="00F72EC7" w:rsidRPr="00F72EC7" w:rsidRDefault="00F72EC7" w:rsidP="00F72EC7">
      <w:pPr>
        <w:pStyle w:val="ColorfulList-Accent11"/>
        <w:numPr>
          <w:ilvl w:val="1"/>
          <w:numId w:val="10"/>
        </w:numPr>
        <w:tabs>
          <w:tab w:val="left" w:pos="1110"/>
        </w:tabs>
        <w:spacing w:before="118" w:line="264" w:lineRule="auto"/>
        <w:ind w:right="419"/>
        <w:rPr>
          <w:rFonts w:asciiTheme="minorHAnsi" w:eastAsia="Verdana" w:hAnsiTheme="minorHAnsi" w:cs="Verdana"/>
          <w:sz w:val="24"/>
          <w:szCs w:val="24"/>
        </w:rPr>
      </w:pPr>
      <w:r w:rsidRPr="00F72EC7">
        <w:rPr>
          <w:rFonts w:asciiTheme="minorHAnsi" w:hAnsiTheme="minorHAnsi"/>
          <w:sz w:val="24"/>
          <w:szCs w:val="24"/>
        </w:rPr>
        <w:t>Receiving Medicare under the Extended Period of Medicare Coverage as a former beneficiary of the Title II disability</w:t>
      </w:r>
      <w:r w:rsidRPr="00F72EC7">
        <w:rPr>
          <w:rFonts w:asciiTheme="minorHAnsi" w:hAnsiTheme="minorHAnsi"/>
          <w:spacing w:val="-17"/>
          <w:sz w:val="24"/>
          <w:szCs w:val="24"/>
        </w:rPr>
        <w:t xml:space="preserve"> </w:t>
      </w:r>
      <w:r w:rsidRPr="00F72EC7">
        <w:rPr>
          <w:rFonts w:asciiTheme="minorHAnsi" w:hAnsiTheme="minorHAnsi"/>
          <w:sz w:val="24"/>
          <w:szCs w:val="24"/>
        </w:rPr>
        <w:t>programs (SSDI, CDB, DWB) or as a Medicare Qualified Government Employee who received Medicare based on</w:t>
      </w:r>
      <w:r w:rsidRPr="00F72EC7">
        <w:rPr>
          <w:rFonts w:asciiTheme="minorHAnsi" w:hAnsiTheme="minorHAnsi"/>
          <w:spacing w:val="-11"/>
          <w:sz w:val="24"/>
          <w:szCs w:val="24"/>
        </w:rPr>
        <w:t xml:space="preserve"> </w:t>
      </w:r>
      <w:r w:rsidRPr="00F72EC7">
        <w:rPr>
          <w:rFonts w:asciiTheme="minorHAnsi" w:hAnsiTheme="minorHAnsi"/>
          <w:spacing w:val="-3"/>
          <w:sz w:val="24"/>
          <w:szCs w:val="24"/>
        </w:rPr>
        <w:t>disability.</w:t>
      </w:r>
    </w:p>
    <w:p w:rsidR="00F72EC7" w:rsidRDefault="00F72EC7" w:rsidP="001068E8">
      <w:pPr>
        <w:pStyle w:val="Heading1"/>
        <w:spacing w:before="0"/>
      </w:pPr>
    </w:p>
    <w:p w:rsidR="00F72EC7" w:rsidRPr="00F72EC7" w:rsidRDefault="00F72EC7" w:rsidP="00F72EC7">
      <w:pPr>
        <w:pStyle w:val="BodyText"/>
        <w:tabs>
          <w:tab w:val="left" w:pos="839"/>
        </w:tabs>
        <w:spacing w:before="53" w:after="13" w:line="249" w:lineRule="auto"/>
        <w:ind w:left="119" w:right="364"/>
        <w:rPr>
          <w:rFonts w:asciiTheme="minorHAnsi" w:eastAsia="Arial Narrow" w:hAnsiTheme="minorHAnsi" w:cs="Arial Narrow"/>
        </w:rPr>
      </w:pPr>
      <w:r w:rsidRPr="00F72EC7">
        <w:rPr>
          <w:rFonts w:asciiTheme="minorHAnsi" w:eastAsia="Times New Roman" w:hAnsiTheme="minorHAnsi"/>
          <w:noProof/>
        </w:rPr>
        <mc:AlternateContent>
          <mc:Choice Requires="wps">
            <w:drawing>
              <wp:anchor distT="0" distB="0" distL="114300" distR="114300" simplePos="0" relativeHeight="251659264" behindDoc="0" locked="0" layoutInCell="1" allowOverlap="1" wp14:anchorId="0009D589" wp14:editId="14518997">
                <wp:simplePos x="0" y="0"/>
                <wp:positionH relativeFrom="column">
                  <wp:posOffset>76200</wp:posOffset>
                </wp:positionH>
                <wp:positionV relativeFrom="paragraph">
                  <wp:posOffset>-3175</wp:posOffset>
                </wp:positionV>
                <wp:extent cx="879475" cy="0"/>
                <wp:effectExtent l="9525" t="6985" r="6350" b="12065"/>
                <wp:wrapNone/>
                <wp:docPr id="264" name="AutoShape 898" descr="nul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683C4" id="_x0000_t32" coordsize="21600,21600" o:spt="32" o:oned="t" path="m,l21600,21600e" filled="f">
                <v:path arrowok="t" fillok="f" o:connecttype="none"/>
                <o:lock v:ext="edit" shapetype="t"/>
              </v:shapetype>
              <v:shape id="AutoShape 898" o:spid="_x0000_s1026" type="#_x0000_t32" alt="null" style="position:absolute;margin-left:6pt;margin-top:-.25pt;width:6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"/>
            </w:pict>
          </mc:Fallback>
        </mc:AlternateContent>
      </w:r>
      <w:r w:rsidRPr="00F72EC7">
        <w:rPr>
          <w:rFonts w:asciiTheme="minorHAnsi" w:eastAsia="Times New Roman" w:hAnsiTheme="minorHAnsi"/>
        </w:rPr>
        <w:t>1</w:t>
      </w:r>
      <w:r w:rsidRPr="00F72EC7">
        <w:rPr>
          <w:rFonts w:asciiTheme="minorHAnsi" w:eastAsia="Times New Roman" w:hAnsiTheme="minorHAnsi"/>
        </w:rPr>
        <w:tab/>
      </w:r>
      <w:r w:rsidRPr="00F72EC7">
        <w:rPr>
          <w:rFonts w:asciiTheme="minorHAnsi" w:eastAsia="Arial Narrow" w:hAnsiTheme="minorHAnsi" w:cs="Arial Narrow"/>
          <w:b/>
          <w:bCs/>
        </w:rPr>
        <w:t xml:space="preserve">NOTE: </w:t>
      </w:r>
      <w:r w:rsidRPr="00F72EC7">
        <w:rPr>
          <w:rFonts w:asciiTheme="minorHAnsi" w:eastAsia="Arial Narrow" w:hAnsiTheme="minorHAnsi" w:cs="Arial Narrow"/>
        </w:rPr>
        <w:t xml:space="preserve">Full Retirement Age (FRA) varies depending when individuals were born. </w:t>
      </w:r>
      <w:r w:rsidRPr="00F72EC7">
        <w:rPr>
          <w:rFonts w:asciiTheme="minorHAnsi" w:eastAsia="Arial Narrow" w:hAnsiTheme="minorHAnsi" w:cs="Arial Narrow"/>
          <w:spacing w:val="-11"/>
        </w:rPr>
        <w:t>To</w:t>
      </w:r>
      <w:r w:rsidRPr="00F72EC7">
        <w:rPr>
          <w:rFonts w:asciiTheme="minorHAnsi" w:eastAsia="Arial Narrow" w:hAnsiTheme="minorHAnsi" w:cs="Arial Narrow"/>
          <w:spacing w:val="1"/>
        </w:rPr>
        <w:t xml:space="preserve"> </w:t>
      </w:r>
      <w:r w:rsidRPr="00F72EC7">
        <w:rPr>
          <w:rFonts w:asciiTheme="minorHAnsi" w:eastAsia="Arial Narrow" w:hAnsiTheme="minorHAnsi" w:cs="Arial Narrow"/>
        </w:rPr>
        <w:t>identify</w:t>
      </w:r>
      <w:r w:rsidRPr="00F72EC7">
        <w:rPr>
          <w:rFonts w:asciiTheme="minorHAnsi" w:eastAsia="Arial Narrow" w:hAnsiTheme="minorHAnsi" w:cs="Arial Narrow"/>
          <w:spacing w:val="-3"/>
        </w:rPr>
        <w:t xml:space="preserve"> </w:t>
      </w:r>
      <w:r w:rsidRPr="00F72EC7">
        <w:rPr>
          <w:rFonts w:asciiTheme="minorHAnsi" w:eastAsia="Arial Narrow" w:hAnsiTheme="minorHAnsi" w:cs="Arial Narrow"/>
        </w:rPr>
        <w:t>the FRA for various birth dates, go to POMS RS 00615.003 Full Retirement Age a</w:t>
      </w:r>
      <w:hyperlink r:id="rId8">
        <w:r w:rsidRPr="00F72EC7">
          <w:rPr>
            <w:rFonts w:asciiTheme="minorHAnsi" w:eastAsia="Arial Narrow" w:hAnsiTheme="minorHAnsi" w:cs="Arial Narrow"/>
          </w:rPr>
          <w:t>t https://secure.ssa.gov/</w:t>
        </w:r>
      </w:hyperlink>
      <w:r w:rsidRPr="00F72EC7">
        <w:rPr>
          <w:rFonts w:asciiTheme="minorHAnsi" w:eastAsia="Arial Narrow" w:hAnsiTheme="minorHAnsi" w:cs="Arial Narrow"/>
        </w:rPr>
        <w:t xml:space="preserve"> </w:t>
      </w:r>
      <w:hyperlink r:id="rId9">
        <w:r w:rsidRPr="00F72EC7">
          <w:rPr>
            <w:rFonts w:asciiTheme="minorHAnsi" w:eastAsia="Arial Narrow" w:hAnsiTheme="minorHAnsi" w:cs="Arial Narrow"/>
          </w:rPr>
          <w:t>apps10/poms.nsf/lnx/0300615003!opendocument</w:t>
        </w:r>
      </w:hyperlink>
      <w:r w:rsidRPr="00F72EC7">
        <w:rPr>
          <w:rFonts w:asciiTheme="minorHAnsi" w:eastAsia="Arial Narrow" w:hAnsiTheme="minorHAnsi" w:cs="Arial Narrow"/>
          <w:b/>
          <w:bCs/>
        </w:rPr>
        <w:t xml:space="preserve">, </w:t>
      </w:r>
      <w:r w:rsidRPr="00F72EC7">
        <w:rPr>
          <w:rFonts w:asciiTheme="minorHAnsi" w:eastAsia="Arial Narrow" w:hAnsiTheme="minorHAnsi" w:cs="Arial Narrow"/>
        </w:rPr>
        <w:t>or search for “full retirement age” or normal retirement age”</w:t>
      </w:r>
      <w:r w:rsidRPr="00F72EC7">
        <w:rPr>
          <w:rFonts w:asciiTheme="minorHAnsi" w:eastAsia="Arial Narrow" w:hAnsiTheme="minorHAnsi" w:cs="Arial Narrow"/>
          <w:spacing w:val="-23"/>
        </w:rPr>
        <w:t xml:space="preserve"> </w:t>
      </w:r>
      <w:r w:rsidRPr="00F72EC7">
        <w:rPr>
          <w:rFonts w:asciiTheme="minorHAnsi" w:eastAsia="Arial Narrow" w:hAnsiTheme="minorHAnsi" w:cs="Arial Narrow"/>
        </w:rPr>
        <w:t>on</w:t>
      </w:r>
      <w:r w:rsidRPr="00F72EC7">
        <w:rPr>
          <w:rFonts w:asciiTheme="minorHAnsi" w:eastAsia="Arial Narrow" w:hAnsiTheme="minorHAnsi" w:cs="Arial Narrow"/>
          <w:spacing w:val="-23"/>
        </w:rPr>
        <w:t xml:space="preserve"> </w:t>
      </w:r>
      <w:hyperlink r:id="rId10">
        <w:r w:rsidRPr="00F72EC7">
          <w:rPr>
            <w:rFonts w:asciiTheme="minorHAnsi" w:eastAsia="Arial Narrow" w:hAnsiTheme="minorHAnsi" w:cs="Arial Narrow"/>
          </w:rPr>
          <w:t>www.SocialSecurity.gov</w:t>
        </w:r>
      </w:hyperlink>
      <w:r w:rsidRPr="00F72EC7">
        <w:rPr>
          <w:rFonts w:asciiTheme="minorHAnsi" w:eastAsia="Arial Narrow" w:hAnsiTheme="minorHAnsi" w:cs="Arial Narrow"/>
        </w:rPr>
        <w:t>.</w:t>
      </w:r>
    </w:p>
    <w:p w:rsidR="00F72EC7" w:rsidRDefault="00F72EC7" w:rsidP="001068E8">
      <w:pPr>
        <w:pStyle w:val="Heading1"/>
        <w:spacing w:before="0"/>
      </w:pPr>
    </w:p>
    <w:p w:rsidR="00F72EC7" w:rsidRDefault="00F72EC7" w:rsidP="001068E8">
      <w:pPr>
        <w:pStyle w:val="Heading1"/>
        <w:spacing w:before="0"/>
      </w:pPr>
    </w:p>
    <w:p w:rsidR="001068E8" w:rsidRPr="001068E8" w:rsidRDefault="001068E8" w:rsidP="001068E8">
      <w:pPr>
        <w:pStyle w:val="Heading1"/>
        <w:spacing w:before="0"/>
      </w:pPr>
      <w:r>
        <w:t xml:space="preserve">Eligible for WIPA Services </w:t>
      </w:r>
    </w:p>
    <w:p w:rsidR="001068E8" w:rsidRPr="001068E8" w:rsidRDefault="001068E8" w:rsidP="001068E8">
      <w:pPr>
        <w:spacing w:after="0"/>
      </w:pP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t>Individuals receiving SSI benefits due to disability who are in cash payment status. This includes persons who only receive state supplement payments. Individuals receiving Title II benefits based on disability (SSDI, CDB, DWB) who are in cash payment status.</w:t>
      </w: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t xml:space="preserve">Individuals who have lost cash SSI payments due to work, but are considered SSI eligible due to eligibility for 1619(b) extended Medicaid. </w:t>
      </w: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t>Individuals who have lost Title II disability cash payments due to work, but are still in the Extended Period of Eligibility</w:t>
      </w:r>
      <w:r>
        <w:rPr>
          <w:rFonts w:asciiTheme="minorHAnsi" w:hAnsiTheme="minorHAnsi"/>
        </w:rPr>
        <w:t xml:space="preserve"> (EPE)</w:t>
      </w:r>
      <w:r w:rsidRPr="001068E8">
        <w:rPr>
          <w:rFonts w:asciiTheme="minorHAnsi" w:hAnsiTheme="minorHAnsi"/>
        </w:rPr>
        <w:t xml:space="preserve">. </w:t>
      </w: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lastRenderedPageBreak/>
        <w:t xml:space="preserve">Title II disability beneficiaries who have received initial notice that Social Security considers them to be engaging in SGA. </w:t>
      </w: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t xml:space="preserve">Individuals who have lost Title II disability benefits due to SGA-level employment, but are still receiving Medicare through the Extended Period of Medicare Coverage (EPMC). Individuals who have received notice of approval for Title II disability benefits, but are still in the 5-month waiting period before payments may begin. </w:t>
      </w:r>
    </w:p>
    <w:p w:rsidR="001068E8" w:rsidRPr="001068E8" w:rsidRDefault="001068E8" w:rsidP="001068E8">
      <w:pPr>
        <w:pStyle w:val="Default"/>
        <w:numPr>
          <w:ilvl w:val="0"/>
          <w:numId w:val="8"/>
        </w:numPr>
        <w:spacing w:line="276" w:lineRule="auto"/>
        <w:rPr>
          <w:rFonts w:asciiTheme="minorHAnsi" w:hAnsiTheme="minorHAnsi"/>
        </w:rPr>
      </w:pPr>
      <w:r w:rsidRPr="001068E8">
        <w:rPr>
          <w:rFonts w:asciiTheme="minorHAnsi" w:hAnsiTheme="minorHAnsi"/>
        </w:rPr>
        <w:t xml:space="preserve">SSI recipients and Title II disability beneficiaries who have completed the disability determination process and are receiving benefits under Expedited Reinstatement. </w:t>
      </w:r>
    </w:p>
    <w:p w:rsidR="001068E8" w:rsidRPr="001068E8" w:rsidRDefault="001068E8" w:rsidP="001068E8">
      <w:pPr>
        <w:pStyle w:val="Default"/>
        <w:numPr>
          <w:ilvl w:val="0"/>
          <w:numId w:val="8"/>
        </w:numPr>
        <w:spacing w:line="276" w:lineRule="auto"/>
        <w:rPr>
          <w:sz w:val="23"/>
          <w:szCs w:val="23"/>
        </w:rPr>
      </w:pPr>
      <w:r w:rsidRPr="001068E8">
        <w:rPr>
          <w:rFonts w:asciiTheme="minorHAnsi" w:hAnsiTheme="minorHAnsi"/>
        </w:rPr>
        <w:t xml:space="preserve">Individuals who continue to receive CDB payments due to disability after full retirement age. </w:t>
      </w:r>
    </w:p>
    <w:p w:rsidR="001068E8" w:rsidRDefault="001068E8" w:rsidP="001068E8">
      <w:pPr>
        <w:pStyle w:val="Default"/>
        <w:spacing w:line="276" w:lineRule="auto"/>
        <w:ind w:left="720"/>
        <w:rPr>
          <w:rFonts w:asciiTheme="minorHAnsi" w:hAnsiTheme="minorHAnsi"/>
        </w:rPr>
      </w:pPr>
    </w:p>
    <w:p w:rsidR="001068E8" w:rsidRPr="001068E8" w:rsidRDefault="001068E8" w:rsidP="001068E8">
      <w:pPr>
        <w:pStyle w:val="Default"/>
        <w:spacing w:line="276" w:lineRule="auto"/>
        <w:ind w:left="720"/>
        <w:rPr>
          <w:sz w:val="23"/>
          <w:szCs w:val="23"/>
        </w:rPr>
      </w:pPr>
    </w:p>
    <w:p w:rsidR="001068E8" w:rsidRDefault="001068E8" w:rsidP="001068E8">
      <w:pPr>
        <w:pStyle w:val="Heading1"/>
        <w:spacing w:before="0"/>
      </w:pPr>
      <w:r w:rsidRPr="001068E8">
        <w:rPr>
          <w:rStyle w:val="Heading1Char"/>
          <w:b/>
          <w:bCs/>
        </w:rPr>
        <w:t>I</w:t>
      </w:r>
      <w:r w:rsidRPr="001068E8">
        <w:t xml:space="preserve">neligible for WIPA Services </w:t>
      </w:r>
    </w:p>
    <w:p w:rsidR="001068E8" w:rsidRPr="001068E8" w:rsidRDefault="001068E8" w:rsidP="001068E8"/>
    <w:p w:rsidR="001068E8" w:rsidRPr="001068E8" w:rsidRDefault="001068E8" w:rsidP="001068E8">
      <w:pPr>
        <w:pStyle w:val="ListParagraph"/>
        <w:numPr>
          <w:ilvl w:val="0"/>
          <w:numId w:val="9"/>
        </w:numPr>
        <w:rPr>
          <w:sz w:val="24"/>
          <w:szCs w:val="24"/>
        </w:rPr>
      </w:pPr>
      <w:r w:rsidRPr="001068E8">
        <w:rPr>
          <w:sz w:val="24"/>
          <w:szCs w:val="24"/>
        </w:rPr>
        <w:t>Individuals with disabilities who receive Medicare as Medicare Qualified Government Employees (MQGE) based on disability.</w:t>
      </w:r>
    </w:p>
    <w:p w:rsidR="001068E8" w:rsidRPr="001068E8" w:rsidRDefault="001068E8" w:rsidP="001068E8">
      <w:pPr>
        <w:pStyle w:val="ListParagraph"/>
        <w:numPr>
          <w:ilvl w:val="0"/>
          <w:numId w:val="9"/>
        </w:numPr>
        <w:rPr>
          <w:sz w:val="24"/>
          <w:szCs w:val="24"/>
        </w:rPr>
      </w:pPr>
      <w:r w:rsidRPr="001068E8">
        <w:rPr>
          <w:sz w:val="24"/>
          <w:szCs w:val="24"/>
        </w:rPr>
        <w:t>Individuals who have become ineligible for SSI and 1619(b) extended Medicaid.</w:t>
      </w:r>
    </w:p>
    <w:p w:rsidR="001068E8" w:rsidRPr="001068E8" w:rsidRDefault="001068E8" w:rsidP="001068E8">
      <w:pPr>
        <w:pStyle w:val="ListParagraph"/>
        <w:numPr>
          <w:ilvl w:val="0"/>
          <w:numId w:val="9"/>
        </w:numPr>
        <w:rPr>
          <w:sz w:val="24"/>
          <w:szCs w:val="24"/>
        </w:rPr>
      </w:pPr>
      <w:r w:rsidRPr="001068E8">
        <w:rPr>
          <w:sz w:val="24"/>
          <w:szCs w:val="24"/>
        </w:rPr>
        <w:t xml:space="preserve">Individuals who have lost SSI or Title II disability benefits due to medical recovery. Individuals age 65 or older who receive SSI due to advanced age, rather than disability. </w:t>
      </w:r>
    </w:p>
    <w:p w:rsidR="001068E8" w:rsidRPr="001068E8" w:rsidRDefault="001068E8" w:rsidP="001068E8">
      <w:pPr>
        <w:pStyle w:val="ListParagraph"/>
        <w:numPr>
          <w:ilvl w:val="0"/>
          <w:numId w:val="9"/>
        </w:numPr>
        <w:rPr>
          <w:sz w:val="24"/>
          <w:szCs w:val="24"/>
        </w:rPr>
      </w:pPr>
      <w:r w:rsidRPr="001068E8">
        <w:rPr>
          <w:sz w:val="24"/>
          <w:szCs w:val="24"/>
        </w:rPr>
        <w:t xml:space="preserve">Individuals who receive a Social Security Title II benefit not based on disability. </w:t>
      </w:r>
    </w:p>
    <w:p w:rsidR="001068E8" w:rsidRPr="001068E8" w:rsidRDefault="001068E8" w:rsidP="001068E8">
      <w:pPr>
        <w:pStyle w:val="ListParagraph"/>
        <w:numPr>
          <w:ilvl w:val="0"/>
          <w:numId w:val="9"/>
        </w:numPr>
        <w:rPr>
          <w:sz w:val="24"/>
          <w:szCs w:val="24"/>
        </w:rPr>
      </w:pPr>
      <w:r w:rsidRPr="001068E8">
        <w:rPr>
          <w:sz w:val="24"/>
          <w:szCs w:val="24"/>
        </w:rPr>
        <w:t xml:space="preserve">Individuals who receive Medicare only under the End Stage Renal Disease (ESRD) provision, but who haven’t established entitlement for Title II disability benefits. </w:t>
      </w:r>
    </w:p>
    <w:p w:rsidR="001068E8" w:rsidRPr="001068E8" w:rsidRDefault="001068E8" w:rsidP="001068E8">
      <w:pPr>
        <w:pStyle w:val="ListParagraph"/>
        <w:numPr>
          <w:ilvl w:val="0"/>
          <w:numId w:val="9"/>
        </w:numPr>
        <w:rPr>
          <w:sz w:val="24"/>
          <w:szCs w:val="24"/>
        </w:rPr>
      </w:pPr>
      <w:r w:rsidRPr="001068E8">
        <w:rPr>
          <w:sz w:val="24"/>
          <w:szCs w:val="24"/>
        </w:rPr>
        <w:t xml:space="preserve">SSI recipients and Title II disability beneficiaries receiving continued disability benefits in spite of medical recovery under section 301 provisions. </w:t>
      </w:r>
    </w:p>
    <w:p w:rsidR="001068E8" w:rsidRPr="001068E8" w:rsidRDefault="001068E8" w:rsidP="001068E8">
      <w:pPr>
        <w:pStyle w:val="ListParagraph"/>
        <w:numPr>
          <w:ilvl w:val="0"/>
          <w:numId w:val="9"/>
        </w:numPr>
        <w:rPr>
          <w:sz w:val="24"/>
          <w:szCs w:val="24"/>
        </w:rPr>
      </w:pPr>
      <w:r w:rsidRPr="001068E8">
        <w:rPr>
          <w:sz w:val="24"/>
          <w:szCs w:val="24"/>
        </w:rPr>
        <w:t xml:space="preserve">Individuals only receiving other federal, state or local benefits (other than SSI State supplementary payments) who aren’t also entitled to Social Security benefits based on disability. </w:t>
      </w:r>
    </w:p>
    <w:p w:rsidR="001068E8" w:rsidRPr="001068E8" w:rsidRDefault="001068E8" w:rsidP="001068E8">
      <w:pPr>
        <w:pStyle w:val="ListParagraph"/>
        <w:numPr>
          <w:ilvl w:val="0"/>
          <w:numId w:val="9"/>
        </w:numPr>
        <w:rPr>
          <w:sz w:val="24"/>
          <w:szCs w:val="24"/>
        </w:rPr>
      </w:pPr>
      <w:r w:rsidRPr="001068E8">
        <w:rPr>
          <w:sz w:val="24"/>
          <w:szCs w:val="24"/>
        </w:rPr>
        <w:t xml:space="preserve">Individuals who have applied for Social Security disability benefits, but for whom no determination has been made. </w:t>
      </w:r>
    </w:p>
    <w:p w:rsidR="001068E8" w:rsidRPr="001068E8" w:rsidRDefault="001068E8" w:rsidP="001068E8">
      <w:pPr>
        <w:pStyle w:val="ListParagraph"/>
        <w:numPr>
          <w:ilvl w:val="0"/>
          <w:numId w:val="9"/>
        </w:numPr>
        <w:rPr>
          <w:sz w:val="24"/>
          <w:szCs w:val="24"/>
        </w:rPr>
      </w:pPr>
      <w:r w:rsidRPr="001068E8">
        <w:rPr>
          <w:sz w:val="24"/>
          <w:szCs w:val="24"/>
        </w:rPr>
        <w:t xml:space="preserve">SSI recipients and Title II disability beneficiaries receiving provisional benefits under Expedited Reinstatement (EXR) who haven’t completed the disability determination process (unless eligible under EPMC). </w:t>
      </w:r>
    </w:p>
    <w:p w:rsidR="001068E8" w:rsidRPr="001068E8" w:rsidRDefault="001068E8" w:rsidP="001068E8">
      <w:pPr>
        <w:pStyle w:val="ListParagraph"/>
        <w:numPr>
          <w:ilvl w:val="0"/>
          <w:numId w:val="9"/>
        </w:numPr>
        <w:rPr>
          <w:sz w:val="24"/>
          <w:szCs w:val="24"/>
        </w:rPr>
      </w:pPr>
      <w:r w:rsidRPr="001068E8">
        <w:rPr>
          <w:sz w:val="24"/>
          <w:szCs w:val="24"/>
        </w:rPr>
        <w:t xml:space="preserve">Individuals who are receiving cash payments (SSI or Title II) while appealing an adverse medical determination. </w:t>
      </w:r>
    </w:p>
    <w:p w:rsidR="001068E8" w:rsidRPr="001068E8" w:rsidRDefault="001068E8" w:rsidP="001068E8">
      <w:pPr>
        <w:rPr>
          <w:sz w:val="24"/>
          <w:szCs w:val="24"/>
        </w:rPr>
      </w:pPr>
    </w:p>
    <w:p w:rsidR="008B284B" w:rsidRPr="001068E8" w:rsidRDefault="008B284B" w:rsidP="001068E8">
      <w:pPr>
        <w:rPr>
          <w:sz w:val="24"/>
          <w:szCs w:val="24"/>
        </w:rPr>
      </w:pPr>
    </w:p>
    <w:p w:rsidR="001068E8" w:rsidRPr="001068E8" w:rsidRDefault="001068E8" w:rsidP="001068E8">
      <w:pPr>
        <w:rPr>
          <w:sz w:val="24"/>
          <w:szCs w:val="24"/>
        </w:rPr>
      </w:pPr>
    </w:p>
    <w:sectPr w:rsidR="001068E8" w:rsidRPr="001068E8" w:rsidSect="00C41A82">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26C" w:rsidRDefault="00CF726C" w:rsidP="00C41A82">
      <w:pPr>
        <w:spacing w:after="0" w:line="240" w:lineRule="auto"/>
      </w:pPr>
      <w:r>
        <w:separator/>
      </w:r>
    </w:p>
  </w:endnote>
  <w:endnote w:type="continuationSeparator" w:id="0">
    <w:p w:rsidR="00CF726C" w:rsidRDefault="00CF726C" w:rsidP="00C4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188896"/>
      <w:docPartObj>
        <w:docPartGallery w:val="Page Numbers (Bottom of Page)"/>
        <w:docPartUnique/>
      </w:docPartObj>
    </w:sdtPr>
    <w:sdtEndPr>
      <w:rPr>
        <w:color w:val="808080" w:themeColor="background1" w:themeShade="80"/>
        <w:spacing w:val="60"/>
      </w:rPr>
    </w:sdtEndPr>
    <w:sdtContent>
      <w:p w:rsidR="00C41A82" w:rsidRDefault="00C41A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23B97">
          <w:rPr>
            <w:noProof/>
          </w:rPr>
          <w:t>2</w:t>
        </w:r>
        <w:r>
          <w:rPr>
            <w:noProof/>
          </w:rPr>
          <w:fldChar w:fldCharType="end"/>
        </w:r>
        <w:r>
          <w:t xml:space="preserve"> | </w:t>
        </w:r>
        <w:r>
          <w:rPr>
            <w:color w:val="808080" w:themeColor="background1" w:themeShade="80"/>
            <w:spacing w:val="60"/>
          </w:rPr>
          <w:t>Page</w:t>
        </w:r>
      </w:p>
    </w:sdtContent>
  </w:sdt>
  <w:p w:rsidR="00C41A82" w:rsidRDefault="00C41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26C" w:rsidRDefault="00CF726C" w:rsidP="00C41A82">
      <w:pPr>
        <w:spacing w:after="0" w:line="240" w:lineRule="auto"/>
      </w:pPr>
      <w:r>
        <w:separator/>
      </w:r>
    </w:p>
  </w:footnote>
  <w:footnote w:type="continuationSeparator" w:id="0">
    <w:p w:rsidR="00CF726C" w:rsidRDefault="00CF726C" w:rsidP="00C41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38E09F"/>
    <w:multiLevelType w:val="hybridMultilevel"/>
    <w:tmpl w:val="D46171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C4C44"/>
    <w:multiLevelType w:val="hybridMultilevel"/>
    <w:tmpl w:val="1608839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143E66"/>
    <w:multiLevelType w:val="hybridMultilevel"/>
    <w:tmpl w:val="2106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00A59"/>
    <w:multiLevelType w:val="hybridMultilevel"/>
    <w:tmpl w:val="48E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705E2"/>
    <w:multiLevelType w:val="hybridMultilevel"/>
    <w:tmpl w:val="AC862C00"/>
    <w:lvl w:ilvl="0" w:tplc="7ED89558">
      <w:start w:val="1"/>
      <w:numFmt w:val="bullet"/>
      <w:lvlText w:val="•"/>
      <w:lvlJc w:val="left"/>
      <w:pPr>
        <w:ind w:left="710" w:hanging="270"/>
      </w:pPr>
      <w:rPr>
        <w:rFonts w:ascii="Verdana" w:eastAsia="Verdana" w:hAnsi="Verdana" w:hint="default"/>
        <w:spacing w:val="-30"/>
        <w:w w:val="99"/>
        <w:sz w:val="24"/>
        <w:szCs w:val="24"/>
      </w:rPr>
    </w:lvl>
    <w:lvl w:ilvl="1" w:tplc="C7686D66">
      <w:start w:val="1"/>
      <w:numFmt w:val="bullet"/>
      <w:lvlText w:val="•"/>
      <w:lvlJc w:val="left"/>
      <w:pPr>
        <w:ind w:left="1110" w:hanging="270"/>
      </w:pPr>
      <w:rPr>
        <w:rFonts w:ascii="Verdana" w:eastAsia="Verdana" w:hAnsi="Verdana" w:hint="default"/>
        <w:spacing w:val="-30"/>
        <w:w w:val="99"/>
        <w:sz w:val="24"/>
        <w:szCs w:val="24"/>
      </w:rPr>
    </w:lvl>
    <w:lvl w:ilvl="2" w:tplc="58FE8022">
      <w:start w:val="1"/>
      <w:numFmt w:val="bullet"/>
      <w:lvlText w:val="•"/>
      <w:lvlJc w:val="left"/>
      <w:pPr>
        <w:ind w:left="2013" w:hanging="270"/>
      </w:pPr>
      <w:rPr>
        <w:rFonts w:hint="default"/>
      </w:rPr>
    </w:lvl>
    <w:lvl w:ilvl="3" w:tplc="FC5CD86E">
      <w:start w:val="1"/>
      <w:numFmt w:val="bullet"/>
      <w:lvlText w:val="•"/>
      <w:lvlJc w:val="left"/>
      <w:pPr>
        <w:ind w:left="2906" w:hanging="270"/>
      </w:pPr>
      <w:rPr>
        <w:rFonts w:hint="default"/>
      </w:rPr>
    </w:lvl>
    <w:lvl w:ilvl="4" w:tplc="84EA745A">
      <w:start w:val="1"/>
      <w:numFmt w:val="bullet"/>
      <w:lvlText w:val="•"/>
      <w:lvlJc w:val="left"/>
      <w:pPr>
        <w:ind w:left="3800" w:hanging="270"/>
      </w:pPr>
      <w:rPr>
        <w:rFonts w:hint="default"/>
      </w:rPr>
    </w:lvl>
    <w:lvl w:ilvl="5" w:tplc="0E7C06EC">
      <w:start w:val="1"/>
      <w:numFmt w:val="bullet"/>
      <w:lvlText w:val="•"/>
      <w:lvlJc w:val="left"/>
      <w:pPr>
        <w:ind w:left="4693" w:hanging="270"/>
      </w:pPr>
      <w:rPr>
        <w:rFonts w:hint="default"/>
      </w:rPr>
    </w:lvl>
    <w:lvl w:ilvl="6" w:tplc="0E0C6230">
      <w:start w:val="1"/>
      <w:numFmt w:val="bullet"/>
      <w:lvlText w:val="•"/>
      <w:lvlJc w:val="left"/>
      <w:pPr>
        <w:ind w:left="5586" w:hanging="270"/>
      </w:pPr>
      <w:rPr>
        <w:rFonts w:hint="default"/>
      </w:rPr>
    </w:lvl>
    <w:lvl w:ilvl="7" w:tplc="3AB0FD24">
      <w:start w:val="1"/>
      <w:numFmt w:val="bullet"/>
      <w:lvlText w:val="•"/>
      <w:lvlJc w:val="left"/>
      <w:pPr>
        <w:ind w:left="6480" w:hanging="270"/>
      </w:pPr>
      <w:rPr>
        <w:rFonts w:hint="default"/>
      </w:rPr>
    </w:lvl>
    <w:lvl w:ilvl="8" w:tplc="041E39B6">
      <w:start w:val="1"/>
      <w:numFmt w:val="bullet"/>
      <w:lvlText w:val="•"/>
      <w:lvlJc w:val="left"/>
      <w:pPr>
        <w:ind w:left="7373" w:hanging="270"/>
      </w:pPr>
      <w:rPr>
        <w:rFonts w:hint="default"/>
      </w:rPr>
    </w:lvl>
  </w:abstractNum>
  <w:abstractNum w:abstractNumId="5" w15:restartNumberingAfterBreak="0">
    <w:nsid w:val="571D4BD3"/>
    <w:multiLevelType w:val="hybridMultilevel"/>
    <w:tmpl w:val="6C2E4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971E82"/>
    <w:multiLevelType w:val="hybridMultilevel"/>
    <w:tmpl w:val="3B9E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5087E"/>
    <w:multiLevelType w:val="hybridMultilevel"/>
    <w:tmpl w:val="DF3E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D7B65"/>
    <w:multiLevelType w:val="hybridMultilevel"/>
    <w:tmpl w:val="C531D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A97D48"/>
    <w:multiLevelType w:val="hybridMultilevel"/>
    <w:tmpl w:val="EF26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
  </w:num>
  <w:num w:numId="5">
    <w:abstractNumId w:val="7"/>
  </w:num>
  <w:num w:numId="6">
    <w:abstractNumId w:val="3"/>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4B"/>
    <w:rsid w:val="001068E8"/>
    <w:rsid w:val="00182F6B"/>
    <w:rsid w:val="002C7A19"/>
    <w:rsid w:val="003F73AF"/>
    <w:rsid w:val="00444C02"/>
    <w:rsid w:val="004754BA"/>
    <w:rsid w:val="004B68C6"/>
    <w:rsid w:val="004D2294"/>
    <w:rsid w:val="007C6C20"/>
    <w:rsid w:val="00823B97"/>
    <w:rsid w:val="00843307"/>
    <w:rsid w:val="008B284B"/>
    <w:rsid w:val="00907B31"/>
    <w:rsid w:val="00AC4922"/>
    <w:rsid w:val="00AF62BE"/>
    <w:rsid w:val="00B249FD"/>
    <w:rsid w:val="00C41A82"/>
    <w:rsid w:val="00C700F6"/>
    <w:rsid w:val="00C7525B"/>
    <w:rsid w:val="00CF726C"/>
    <w:rsid w:val="00E413DE"/>
    <w:rsid w:val="00F43A68"/>
    <w:rsid w:val="00F7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B4002-5BD9-4E40-858D-B518BA05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A82"/>
  </w:style>
  <w:style w:type="paragraph" w:styleId="Heading1">
    <w:name w:val="heading 1"/>
    <w:basedOn w:val="Normal"/>
    <w:next w:val="Normal"/>
    <w:link w:val="Heading1Char"/>
    <w:uiPriority w:val="9"/>
    <w:qFormat/>
    <w:rsid w:val="00C41A8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41A8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41A8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41A8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41A8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41A8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41A8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41A8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41A8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4B"/>
    <w:rPr>
      <w:rFonts w:ascii="Tahoma" w:hAnsi="Tahoma" w:cs="Tahoma"/>
      <w:sz w:val="16"/>
      <w:szCs w:val="16"/>
    </w:rPr>
  </w:style>
  <w:style w:type="character" w:customStyle="1" w:styleId="Heading1Char">
    <w:name w:val="Heading 1 Char"/>
    <w:basedOn w:val="DefaultParagraphFont"/>
    <w:link w:val="Heading1"/>
    <w:uiPriority w:val="9"/>
    <w:rsid w:val="00C41A8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41A8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41A8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41A8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41A8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41A8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41A8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41A8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41A8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41A8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41A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41A8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41A82"/>
    <w:rPr>
      <w:rFonts w:asciiTheme="majorHAnsi" w:eastAsiaTheme="majorEastAsia" w:hAnsiTheme="majorHAnsi" w:cstheme="majorBidi"/>
      <w:i/>
      <w:iCs/>
      <w:spacing w:val="13"/>
      <w:sz w:val="24"/>
      <w:szCs w:val="24"/>
    </w:rPr>
  </w:style>
  <w:style w:type="character" w:styleId="Strong">
    <w:name w:val="Strong"/>
    <w:uiPriority w:val="22"/>
    <w:qFormat/>
    <w:rsid w:val="00C41A82"/>
    <w:rPr>
      <w:b/>
      <w:bCs/>
    </w:rPr>
  </w:style>
  <w:style w:type="character" w:styleId="Emphasis">
    <w:name w:val="Emphasis"/>
    <w:uiPriority w:val="20"/>
    <w:qFormat/>
    <w:rsid w:val="00C41A82"/>
    <w:rPr>
      <w:b/>
      <w:bCs/>
      <w:i/>
      <w:iCs/>
      <w:spacing w:val="10"/>
      <w:bdr w:val="none" w:sz="0" w:space="0" w:color="auto"/>
      <w:shd w:val="clear" w:color="auto" w:fill="auto"/>
    </w:rPr>
  </w:style>
  <w:style w:type="paragraph" w:styleId="NoSpacing">
    <w:name w:val="No Spacing"/>
    <w:basedOn w:val="Normal"/>
    <w:uiPriority w:val="1"/>
    <w:qFormat/>
    <w:rsid w:val="00C41A82"/>
    <w:pPr>
      <w:spacing w:after="0" w:line="240" w:lineRule="auto"/>
    </w:pPr>
  </w:style>
  <w:style w:type="paragraph" w:styleId="ListParagraph">
    <w:name w:val="List Paragraph"/>
    <w:basedOn w:val="Normal"/>
    <w:uiPriority w:val="34"/>
    <w:qFormat/>
    <w:rsid w:val="00C41A82"/>
    <w:pPr>
      <w:ind w:left="720"/>
      <w:contextualSpacing/>
    </w:pPr>
  </w:style>
  <w:style w:type="paragraph" w:styleId="Quote">
    <w:name w:val="Quote"/>
    <w:basedOn w:val="Normal"/>
    <w:next w:val="Normal"/>
    <w:link w:val="QuoteChar"/>
    <w:uiPriority w:val="29"/>
    <w:qFormat/>
    <w:rsid w:val="00C41A82"/>
    <w:pPr>
      <w:spacing w:before="200" w:after="0"/>
      <w:ind w:left="360" w:right="360"/>
    </w:pPr>
    <w:rPr>
      <w:i/>
      <w:iCs/>
    </w:rPr>
  </w:style>
  <w:style w:type="character" w:customStyle="1" w:styleId="QuoteChar">
    <w:name w:val="Quote Char"/>
    <w:basedOn w:val="DefaultParagraphFont"/>
    <w:link w:val="Quote"/>
    <w:uiPriority w:val="29"/>
    <w:rsid w:val="00C41A82"/>
    <w:rPr>
      <w:i/>
      <w:iCs/>
    </w:rPr>
  </w:style>
  <w:style w:type="paragraph" w:styleId="IntenseQuote">
    <w:name w:val="Intense Quote"/>
    <w:basedOn w:val="Normal"/>
    <w:next w:val="Normal"/>
    <w:link w:val="IntenseQuoteChar"/>
    <w:uiPriority w:val="30"/>
    <w:qFormat/>
    <w:rsid w:val="00C41A8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41A82"/>
    <w:rPr>
      <w:b/>
      <w:bCs/>
      <w:i/>
      <w:iCs/>
    </w:rPr>
  </w:style>
  <w:style w:type="character" w:styleId="SubtleEmphasis">
    <w:name w:val="Subtle Emphasis"/>
    <w:uiPriority w:val="19"/>
    <w:qFormat/>
    <w:rsid w:val="00C41A82"/>
    <w:rPr>
      <w:i/>
      <w:iCs/>
    </w:rPr>
  </w:style>
  <w:style w:type="character" w:styleId="IntenseEmphasis">
    <w:name w:val="Intense Emphasis"/>
    <w:uiPriority w:val="21"/>
    <w:qFormat/>
    <w:rsid w:val="00C41A82"/>
    <w:rPr>
      <w:b/>
      <w:bCs/>
    </w:rPr>
  </w:style>
  <w:style w:type="character" w:styleId="SubtleReference">
    <w:name w:val="Subtle Reference"/>
    <w:uiPriority w:val="31"/>
    <w:qFormat/>
    <w:rsid w:val="00C41A82"/>
    <w:rPr>
      <w:smallCaps/>
    </w:rPr>
  </w:style>
  <w:style w:type="character" w:styleId="IntenseReference">
    <w:name w:val="Intense Reference"/>
    <w:uiPriority w:val="32"/>
    <w:qFormat/>
    <w:rsid w:val="00C41A82"/>
    <w:rPr>
      <w:smallCaps/>
      <w:spacing w:val="5"/>
      <w:u w:val="single"/>
    </w:rPr>
  </w:style>
  <w:style w:type="character" w:styleId="BookTitle">
    <w:name w:val="Book Title"/>
    <w:uiPriority w:val="33"/>
    <w:qFormat/>
    <w:rsid w:val="00C41A82"/>
    <w:rPr>
      <w:i/>
      <w:iCs/>
      <w:smallCaps/>
      <w:spacing w:val="5"/>
    </w:rPr>
  </w:style>
  <w:style w:type="paragraph" w:styleId="TOCHeading">
    <w:name w:val="TOC Heading"/>
    <w:basedOn w:val="Heading1"/>
    <w:next w:val="Normal"/>
    <w:uiPriority w:val="39"/>
    <w:semiHidden/>
    <w:unhideWhenUsed/>
    <w:qFormat/>
    <w:rsid w:val="00C41A82"/>
    <w:pPr>
      <w:outlineLvl w:val="9"/>
    </w:pPr>
    <w:rPr>
      <w:lang w:bidi="en-US"/>
    </w:rPr>
  </w:style>
  <w:style w:type="paragraph" w:styleId="Header">
    <w:name w:val="header"/>
    <w:basedOn w:val="Normal"/>
    <w:link w:val="HeaderChar"/>
    <w:uiPriority w:val="99"/>
    <w:unhideWhenUsed/>
    <w:rsid w:val="00C4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82"/>
  </w:style>
  <w:style w:type="paragraph" w:styleId="Footer">
    <w:name w:val="footer"/>
    <w:basedOn w:val="Normal"/>
    <w:link w:val="FooterChar"/>
    <w:uiPriority w:val="99"/>
    <w:unhideWhenUsed/>
    <w:rsid w:val="00C41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82"/>
  </w:style>
  <w:style w:type="paragraph" w:customStyle="1" w:styleId="Default">
    <w:name w:val="Default"/>
    <w:rsid w:val="001068E8"/>
    <w:pPr>
      <w:autoSpaceDE w:val="0"/>
      <w:autoSpaceDN w:val="0"/>
      <w:adjustRightInd w:val="0"/>
      <w:spacing w:after="0" w:line="240" w:lineRule="auto"/>
    </w:pPr>
    <w:rPr>
      <w:rFonts w:ascii="Verdana" w:hAnsi="Verdana" w:cs="Verdana"/>
      <w:color w:val="000000"/>
      <w:sz w:val="24"/>
      <w:szCs w:val="24"/>
    </w:rPr>
  </w:style>
  <w:style w:type="paragraph" w:customStyle="1" w:styleId="Pa6">
    <w:name w:val="Pa6"/>
    <w:basedOn w:val="Default"/>
    <w:next w:val="Default"/>
    <w:uiPriority w:val="99"/>
    <w:rsid w:val="001068E8"/>
    <w:pPr>
      <w:spacing w:line="281" w:lineRule="atLeast"/>
    </w:pPr>
    <w:rPr>
      <w:rFonts w:cstheme="minorBidi"/>
      <w:color w:val="auto"/>
    </w:rPr>
  </w:style>
  <w:style w:type="paragraph" w:customStyle="1" w:styleId="Pa1">
    <w:name w:val="Pa1"/>
    <w:basedOn w:val="Default"/>
    <w:next w:val="Default"/>
    <w:uiPriority w:val="99"/>
    <w:rsid w:val="001068E8"/>
    <w:pPr>
      <w:spacing w:line="241" w:lineRule="atLeast"/>
    </w:pPr>
    <w:rPr>
      <w:rFonts w:cstheme="minorBidi"/>
      <w:color w:val="auto"/>
    </w:rPr>
  </w:style>
  <w:style w:type="paragraph" w:styleId="BodyText">
    <w:name w:val="Body Text"/>
    <w:basedOn w:val="Normal"/>
    <w:link w:val="BodyTextChar"/>
    <w:uiPriority w:val="1"/>
    <w:qFormat/>
    <w:rsid w:val="00F72EC7"/>
    <w:pPr>
      <w:widowControl w:val="0"/>
      <w:spacing w:after="0" w:line="240" w:lineRule="auto"/>
      <w:ind w:left="1090"/>
    </w:pPr>
    <w:rPr>
      <w:rFonts w:ascii="Verdana" w:eastAsia="Verdana" w:hAnsi="Verdana" w:cs="Times New Roman"/>
      <w:sz w:val="24"/>
      <w:szCs w:val="24"/>
    </w:rPr>
  </w:style>
  <w:style w:type="character" w:customStyle="1" w:styleId="BodyTextChar">
    <w:name w:val="Body Text Char"/>
    <w:basedOn w:val="DefaultParagraphFont"/>
    <w:link w:val="BodyText"/>
    <w:uiPriority w:val="1"/>
    <w:rsid w:val="00F72EC7"/>
    <w:rPr>
      <w:rFonts w:ascii="Verdana" w:eastAsia="Verdana" w:hAnsi="Verdana" w:cs="Times New Roman"/>
      <w:sz w:val="24"/>
      <w:szCs w:val="24"/>
    </w:rPr>
  </w:style>
  <w:style w:type="paragraph" w:customStyle="1" w:styleId="ColorfulList-Accent11">
    <w:name w:val="Colorful List - Accent 11"/>
    <w:basedOn w:val="Normal"/>
    <w:uiPriority w:val="1"/>
    <w:qFormat/>
    <w:rsid w:val="00F72EC7"/>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apps10/poms.nsf/lnx/0300615003!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ocialSecurity.gov/" TargetMode="External"/><Relationship Id="rId4" Type="http://schemas.openxmlformats.org/officeDocument/2006/relationships/webSettings" Target="webSettings.xml"/><Relationship Id="rId9" Type="http://schemas.openxmlformats.org/officeDocument/2006/relationships/hyperlink" Target="https://secure.ssa.gov/apps10/poms.nsf/lnx/0300615003!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jaschall</dc:creator>
  <cp:lastModifiedBy>Jen Elder</cp:lastModifiedBy>
  <cp:revision>2</cp:revision>
  <cp:lastPrinted>2014-03-24T17:35:00Z</cp:lastPrinted>
  <dcterms:created xsi:type="dcterms:W3CDTF">2017-01-31T15:47:00Z</dcterms:created>
  <dcterms:modified xsi:type="dcterms:W3CDTF">2017-01-31T15:47:00Z</dcterms:modified>
</cp:coreProperties>
</file>